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7FD8" w14:textId="77777777" w:rsidR="003C46B5" w:rsidRDefault="00BF1836" w:rsidP="00A15DFE">
      <w:pPr>
        <w:pStyle w:val="Default"/>
        <w:rPr>
          <w:sz w:val="44"/>
          <w:szCs w:val="44"/>
          <w:lang w:val="fr-CH"/>
        </w:rPr>
      </w:pPr>
      <w:r w:rsidRPr="00BF1836">
        <w:rPr>
          <w:b/>
          <w:sz w:val="44"/>
          <w:szCs w:val="44"/>
          <w:lang w:val="fr-CH"/>
        </w:rPr>
        <w:t>Feuille de travail</w:t>
      </w:r>
      <w:r w:rsidR="00A15DFE" w:rsidRPr="00BF1836">
        <w:rPr>
          <w:b/>
          <w:sz w:val="44"/>
          <w:szCs w:val="44"/>
          <w:lang w:val="fr-CH"/>
        </w:rPr>
        <w:t xml:space="preserve"> „</w:t>
      </w:r>
      <w:r w:rsidRPr="00BF1836">
        <w:rPr>
          <w:b/>
          <w:sz w:val="44"/>
          <w:szCs w:val="44"/>
          <w:lang w:val="fr-CH"/>
        </w:rPr>
        <w:t>changer d’état d’esprit</w:t>
      </w:r>
      <w:r w:rsidR="00A15DFE" w:rsidRPr="00BF1836">
        <w:rPr>
          <w:b/>
          <w:sz w:val="44"/>
          <w:szCs w:val="44"/>
          <w:lang w:val="fr-CH"/>
        </w:rPr>
        <w:t>“</w:t>
      </w:r>
      <w:r w:rsidR="00A15DFE" w:rsidRPr="00BF1836">
        <w:rPr>
          <w:sz w:val="44"/>
          <w:szCs w:val="44"/>
          <w:lang w:val="fr-CH"/>
        </w:rPr>
        <w:t xml:space="preserve"> </w:t>
      </w:r>
    </w:p>
    <w:p w14:paraId="065B59E3" w14:textId="77777777" w:rsidR="00A15DFE" w:rsidRPr="00BF1836" w:rsidRDefault="00A15DFE" w:rsidP="00A15DFE">
      <w:pPr>
        <w:pStyle w:val="Default"/>
        <w:rPr>
          <w:sz w:val="12"/>
          <w:szCs w:val="44"/>
          <w:lang w:val="fr-CH"/>
        </w:rPr>
      </w:pPr>
      <w:r w:rsidRPr="00BF1836">
        <w:rPr>
          <w:sz w:val="12"/>
          <w:szCs w:val="44"/>
          <w:lang w:val="fr-CH"/>
        </w:rPr>
        <w:t>(M</w:t>
      </w:r>
      <w:r w:rsidR="00BF1836" w:rsidRPr="00BF1836">
        <w:rPr>
          <w:sz w:val="12"/>
          <w:szCs w:val="44"/>
          <w:lang w:val="fr-CH"/>
        </w:rPr>
        <w:t>P</w:t>
      </w:r>
      <w:r w:rsidR="00BF1836">
        <w:rPr>
          <w:sz w:val="12"/>
          <w:szCs w:val="44"/>
          <w:lang w:val="fr-CH"/>
        </w:rPr>
        <w:t xml:space="preserve"> Thème climat d’apprentissage</w:t>
      </w:r>
      <w:r w:rsidRPr="00BF1836">
        <w:rPr>
          <w:sz w:val="12"/>
          <w:szCs w:val="44"/>
          <w:lang w:val="fr-CH"/>
        </w:rPr>
        <w:t>, Daniel Birrer)</w:t>
      </w:r>
    </w:p>
    <w:p w14:paraId="799419D3" w14:textId="77777777" w:rsidR="00A15DFE" w:rsidRPr="00BF1836" w:rsidRDefault="00A15DFE" w:rsidP="00A15DFE">
      <w:pPr>
        <w:pStyle w:val="Default"/>
        <w:rPr>
          <w:sz w:val="22"/>
          <w:szCs w:val="22"/>
          <w:lang w:val="fr-CH"/>
        </w:rPr>
      </w:pPr>
    </w:p>
    <w:p w14:paraId="41AFB4FB" w14:textId="77777777" w:rsidR="00A15DFE" w:rsidRPr="00473E11" w:rsidRDefault="00BF1836" w:rsidP="00AD28B0">
      <w:pPr>
        <w:pStyle w:val="Default"/>
        <w:spacing w:line="276" w:lineRule="auto"/>
        <w:rPr>
          <w:b/>
          <w:sz w:val="22"/>
          <w:szCs w:val="22"/>
          <w:lang w:val="fr-CH"/>
        </w:rPr>
      </w:pPr>
      <w:r w:rsidRPr="003C46B5">
        <w:rPr>
          <w:b/>
          <w:sz w:val="22"/>
          <w:szCs w:val="22"/>
          <w:lang w:val="fr-CH"/>
        </w:rPr>
        <w:t>Objectif</w:t>
      </w:r>
      <w:r w:rsidRPr="00473E11">
        <w:rPr>
          <w:b/>
          <w:sz w:val="22"/>
          <w:szCs w:val="22"/>
          <w:lang w:val="fr-CH"/>
        </w:rPr>
        <w:t xml:space="preserve"> </w:t>
      </w:r>
      <w:r w:rsidR="00A15DFE" w:rsidRPr="00473E11">
        <w:rPr>
          <w:b/>
          <w:sz w:val="22"/>
          <w:szCs w:val="22"/>
          <w:lang w:val="fr-CH"/>
        </w:rPr>
        <w:t xml:space="preserve">: </w:t>
      </w:r>
    </w:p>
    <w:p w14:paraId="0CBEC872" w14:textId="77777777" w:rsidR="00A15DFE" w:rsidRPr="00BF1836" w:rsidRDefault="00BF1836" w:rsidP="00AD28B0">
      <w:pPr>
        <w:pStyle w:val="Default"/>
        <w:spacing w:line="276" w:lineRule="auto"/>
        <w:rPr>
          <w:sz w:val="22"/>
          <w:szCs w:val="22"/>
          <w:lang w:val="fr-CH"/>
        </w:rPr>
      </w:pPr>
      <w:r w:rsidRPr="00BF1836">
        <w:rPr>
          <w:sz w:val="22"/>
          <w:szCs w:val="22"/>
          <w:lang w:val="fr-CH"/>
        </w:rPr>
        <w:t>Reformulation des déclarations basées sur un état d’esprit fixe en déclarations faisant preuve d’un état d’esprit de développement</w:t>
      </w:r>
      <w:r w:rsidR="00A15DFE" w:rsidRPr="00BF1836">
        <w:rPr>
          <w:sz w:val="22"/>
          <w:szCs w:val="22"/>
          <w:lang w:val="fr-CH"/>
        </w:rPr>
        <w:t xml:space="preserve">. </w:t>
      </w:r>
    </w:p>
    <w:p w14:paraId="0E1C66ED" w14:textId="77777777" w:rsidR="00A15DFE" w:rsidRPr="00BF1836" w:rsidRDefault="00A15DFE" w:rsidP="00AD28B0">
      <w:pPr>
        <w:pStyle w:val="Default"/>
        <w:spacing w:line="276" w:lineRule="auto"/>
        <w:rPr>
          <w:sz w:val="12"/>
          <w:szCs w:val="22"/>
          <w:lang w:val="fr-CH"/>
        </w:rPr>
      </w:pPr>
    </w:p>
    <w:p w14:paraId="72A55DB3" w14:textId="77777777" w:rsidR="00A15DFE" w:rsidRPr="00BF1836" w:rsidRDefault="00BF1836" w:rsidP="00AD28B0">
      <w:pPr>
        <w:pStyle w:val="Default"/>
        <w:spacing w:line="276" w:lineRule="auto"/>
        <w:rPr>
          <w:sz w:val="22"/>
          <w:szCs w:val="22"/>
          <w:lang w:val="fr-CH"/>
        </w:rPr>
      </w:pPr>
      <w:r w:rsidRPr="00BF1836">
        <w:rPr>
          <w:b/>
          <w:bCs/>
          <w:sz w:val="22"/>
          <w:szCs w:val="22"/>
          <w:lang w:val="fr-CH"/>
        </w:rPr>
        <w:t>Etat d’esprit fixe et de développement</w:t>
      </w:r>
      <w:r w:rsidR="00A15DFE" w:rsidRPr="00BF1836">
        <w:rPr>
          <w:b/>
          <w:bCs/>
          <w:sz w:val="22"/>
          <w:szCs w:val="22"/>
          <w:lang w:val="fr-CH"/>
        </w:rPr>
        <w:t xml:space="preserve"> </w:t>
      </w:r>
    </w:p>
    <w:p w14:paraId="4D08806E" w14:textId="77777777" w:rsidR="00A15DFE" w:rsidRPr="00A80E61" w:rsidRDefault="00BF1836" w:rsidP="00AD28B0">
      <w:pPr>
        <w:pStyle w:val="Default"/>
        <w:spacing w:line="276" w:lineRule="auto"/>
        <w:rPr>
          <w:sz w:val="22"/>
          <w:szCs w:val="22"/>
          <w:lang w:val="fr-CH"/>
        </w:rPr>
      </w:pPr>
      <w:r w:rsidRPr="00A80E61">
        <w:rPr>
          <w:sz w:val="22"/>
          <w:szCs w:val="22"/>
          <w:lang w:val="fr-CH"/>
        </w:rPr>
        <w:t>Un état d’</w:t>
      </w:r>
      <w:r w:rsidR="00A80E61" w:rsidRPr="00A80E61">
        <w:rPr>
          <w:sz w:val="22"/>
          <w:szCs w:val="22"/>
          <w:lang w:val="fr-CH"/>
        </w:rPr>
        <w:t>esprit fixe part du principe que la capacité et l’intelligence sont innées et ne sont, de ce fait, pas ou peu modifiables.</w:t>
      </w:r>
      <w:r w:rsidR="00A15DFE" w:rsidRPr="00A80E61">
        <w:rPr>
          <w:sz w:val="22"/>
          <w:szCs w:val="22"/>
          <w:lang w:val="fr-CH"/>
        </w:rPr>
        <w:t xml:space="preserve"> </w:t>
      </w:r>
      <w:r w:rsidR="00A80E61" w:rsidRPr="00A80E61">
        <w:rPr>
          <w:sz w:val="22"/>
          <w:szCs w:val="22"/>
          <w:lang w:val="fr-CH"/>
        </w:rPr>
        <w:t>En revanche, un état d’esprit de développement part du principe que la capacité et l’intelligence sont basées sur le dur labeur et l’apprentissage; elles</w:t>
      </w:r>
      <w:r w:rsidR="00A80E61">
        <w:rPr>
          <w:sz w:val="22"/>
          <w:szCs w:val="22"/>
          <w:lang w:val="fr-CH"/>
        </w:rPr>
        <w:t xml:space="preserve"> dépendent donc des efforts, de la volonté et de l’énergie investis dans son développement</w:t>
      </w:r>
      <w:r w:rsidR="00A15DFE" w:rsidRPr="00A80E61">
        <w:rPr>
          <w:sz w:val="22"/>
          <w:szCs w:val="22"/>
          <w:lang w:val="fr-CH"/>
        </w:rPr>
        <w:t xml:space="preserve">. </w:t>
      </w:r>
    </w:p>
    <w:p w14:paraId="5A33E516" w14:textId="77777777" w:rsidR="00A15DFE" w:rsidRPr="00A80E61" w:rsidRDefault="00A15DFE" w:rsidP="00AD28B0">
      <w:pPr>
        <w:pStyle w:val="Default"/>
        <w:spacing w:line="276" w:lineRule="auto"/>
        <w:rPr>
          <w:b/>
          <w:bCs/>
          <w:sz w:val="12"/>
          <w:szCs w:val="22"/>
          <w:lang w:val="fr-CH"/>
        </w:rPr>
      </w:pPr>
    </w:p>
    <w:p w14:paraId="13E850C4" w14:textId="77777777" w:rsidR="00A15DFE" w:rsidRPr="00A80E61" w:rsidRDefault="00A80E61" w:rsidP="00AD28B0">
      <w:pPr>
        <w:pStyle w:val="Default"/>
        <w:spacing w:line="276" w:lineRule="auto"/>
        <w:rPr>
          <w:b/>
          <w:bCs/>
          <w:sz w:val="22"/>
          <w:szCs w:val="22"/>
          <w:lang w:val="fr-CH"/>
        </w:rPr>
      </w:pPr>
      <w:r w:rsidRPr="00A80E61">
        <w:rPr>
          <w:b/>
          <w:bCs/>
          <w:sz w:val="22"/>
          <w:szCs w:val="22"/>
          <w:lang w:val="fr-CH"/>
        </w:rPr>
        <w:t>Tâch</w:t>
      </w:r>
      <w:r w:rsidR="00A15DFE" w:rsidRPr="00A80E61">
        <w:rPr>
          <w:b/>
          <w:bCs/>
          <w:sz w:val="22"/>
          <w:szCs w:val="22"/>
          <w:lang w:val="fr-CH"/>
        </w:rPr>
        <w:t xml:space="preserve">e </w:t>
      </w:r>
    </w:p>
    <w:p w14:paraId="526F2586" w14:textId="77777777" w:rsidR="00A15DFE" w:rsidRPr="00A80E61" w:rsidRDefault="00A80E61" w:rsidP="00AD28B0">
      <w:pPr>
        <w:pStyle w:val="Default"/>
        <w:spacing w:line="276" w:lineRule="auto"/>
        <w:rPr>
          <w:sz w:val="22"/>
          <w:szCs w:val="22"/>
          <w:lang w:val="fr-CH"/>
        </w:rPr>
      </w:pPr>
      <w:r w:rsidRPr="00A80E61">
        <w:rPr>
          <w:sz w:val="22"/>
          <w:szCs w:val="22"/>
          <w:lang w:val="fr-CH"/>
        </w:rPr>
        <w:t>Vous trouvez ci-dessous des déclarations de personnes ayant un état d’esprit fixe.</w:t>
      </w:r>
      <w:r w:rsidR="00A15DFE" w:rsidRPr="00A80E61">
        <w:rPr>
          <w:sz w:val="22"/>
          <w:szCs w:val="22"/>
          <w:lang w:val="fr-CH"/>
        </w:rPr>
        <w:t xml:space="preserve"> </w:t>
      </w:r>
      <w:r w:rsidRPr="00A80E61">
        <w:rPr>
          <w:sz w:val="22"/>
          <w:szCs w:val="22"/>
          <w:lang w:val="fr-CH"/>
        </w:rPr>
        <w:t>Reformulez les déclarations afin qu’elles s’inscrivent dans un état d’esprit de développement</w:t>
      </w:r>
      <w:r w:rsidR="00A15DFE" w:rsidRPr="00A80E61">
        <w:rPr>
          <w:sz w:val="22"/>
          <w:szCs w:val="22"/>
          <w:lang w:val="fr-CH"/>
        </w:rPr>
        <w:t xml:space="preserve">. </w:t>
      </w:r>
      <w:r w:rsidRPr="00A80E61">
        <w:rPr>
          <w:sz w:val="22"/>
          <w:szCs w:val="22"/>
          <w:lang w:val="fr-CH"/>
        </w:rPr>
        <w:t>Connaissez-vous des déclarations de votre entourage sportif qui sont caractéristiques d’un état d’esprit fixe</w:t>
      </w:r>
      <w:r w:rsidR="00AD28B0" w:rsidRPr="00A80E61">
        <w:rPr>
          <w:sz w:val="22"/>
          <w:szCs w:val="22"/>
          <w:lang w:val="fr-CH"/>
        </w:rPr>
        <w:t xml:space="preserve">? </w:t>
      </w:r>
      <w:r>
        <w:rPr>
          <w:sz w:val="22"/>
          <w:szCs w:val="22"/>
          <w:lang w:val="fr-CH"/>
        </w:rPr>
        <w:t>Vous pouvez les noter au verso de cette feuille et les faire évoluer en déclarations qui caractérisent un état d’esprit de développement</w:t>
      </w:r>
      <w:r w:rsidR="00A15DFE" w:rsidRPr="00A80E61">
        <w:rPr>
          <w:sz w:val="22"/>
          <w:szCs w:val="22"/>
          <w:lang w:val="fr-CH"/>
        </w:rPr>
        <w:t>.</w:t>
      </w:r>
    </w:p>
    <w:p w14:paraId="0CFF79F9" w14:textId="77777777" w:rsidR="00A15DFE" w:rsidRPr="00A80E61" w:rsidRDefault="00A15DFE" w:rsidP="00A15DFE">
      <w:pPr>
        <w:pStyle w:val="Default"/>
        <w:rPr>
          <w:lang w:val="fr-CH"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4110"/>
      </w:tblGrid>
      <w:tr w:rsidR="00A15DFE" w:rsidRPr="00A15DFE" w14:paraId="1CA398C7" w14:textId="77777777" w:rsidTr="00A15DFE">
        <w:trPr>
          <w:trHeight w:val="103"/>
        </w:trPr>
        <w:tc>
          <w:tcPr>
            <w:tcW w:w="5065" w:type="dxa"/>
            <w:shd w:val="clear" w:color="auto" w:fill="E7E6E6" w:themeFill="background2"/>
          </w:tcPr>
          <w:p w14:paraId="3FF6F556" w14:textId="77777777" w:rsidR="00A15DFE" w:rsidRPr="00A15DFE" w:rsidRDefault="00A80E61" w:rsidP="00A80E61">
            <w:pPr>
              <w:pStyle w:val="Defaul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Etat </w:t>
            </w:r>
            <w:proofErr w:type="spellStart"/>
            <w:r>
              <w:rPr>
                <w:b/>
                <w:szCs w:val="22"/>
              </w:rPr>
              <w:t>d’esprit</w:t>
            </w:r>
            <w:proofErr w:type="spellEnd"/>
            <w:r>
              <w:rPr>
                <w:b/>
                <w:szCs w:val="22"/>
              </w:rPr>
              <w:t xml:space="preserve"> fixe</w:t>
            </w:r>
            <w:r w:rsidR="00A15DFE" w:rsidRPr="00A15DFE">
              <w:rPr>
                <w:b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E7E6E6" w:themeFill="background2"/>
          </w:tcPr>
          <w:p w14:paraId="002EC0B5" w14:textId="77777777" w:rsidR="00A15DFE" w:rsidRPr="00A15DFE" w:rsidRDefault="00A80E61">
            <w:pPr>
              <w:pStyle w:val="Defaul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Etat </w:t>
            </w:r>
            <w:proofErr w:type="spellStart"/>
            <w:r>
              <w:rPr>
                <w:b/>
                <w:szCs w:val="22"/>
              </w:rPr>
              <w:t>d’esprit</w:t>
            </w:r>
            <w:proofErr w:type="spellEnd"/>
            <w:r>
              <w:rPr>
                <w:b/>
                <w:szCs w:val="22"/>
              </w:rPr>
              <w:t xml:space="preserve"> de </w:t>
            </w:r>
            <w:proofErr w:type="spellStart"/>
            <w:r>
              <w:rPr>
                <w:b/>
                <w:szCs w:val="22"/>
              </w:rPr>
              <w:t>développement</w:t>
            </w:r>
            <w:proofErr w:type="spellEnd"/>
          </w:p>
        </w:tc>
      </w:tr>
      <w:tr w:rsidR="00A15DFE" w:rsidRPr="005542E4" w14:paraId="443D49ED" w14:textId="77777777" w:rsidTr="00A15DFE">
        <w:trPr>
          <w:trHeight w:val="355"/>
        </w:trPr>
        <w:tc>
          <w:tcPr>
            <w:tcW w:w="5065" w:type="dxa"/>
          </w:tcPr>
          <w:p w14:paraId="4B28C689" w14:textId="58889F20" w:rsidR="00A15DFE" w:rsidRPr="00560591" w:rsidRDefault="005542E4" w:rsidP="00560591">
            <w:pPr>
              <w:pStyle w:val="Default"/>
              <w:rPr>
                <w:i/>
                <w:sz w:val="22"/>
                <w:szCs w:val="22"/>
                <w:lang w:val="fr-CH"/>
              </w:rPr>
            </w:pPr>
            <w:r w:rsidRPr="005542E4">
              <w:rPr>
                <w:i/>
                <w:sz w:val="22"/>
                <w:szCs w:val="22"/>
                <w:lang w:val="fr-CH"/>
              </w:rPr>
              <w:t>«Même si je faisais des efforts, ça ne servirait à rien. J’ai simplement moins de talent que mon copain.»</w:t>
            </w:r>
          </w:p>
        </w:tc>
        <w:tc>
          <w:tcPr>
            <w:tcW w:w="4110" w:type="dxa"/>
          </w:tcPr>
          <w:p w14:paraId="76555F7E" w14:textId="77777777" w:rsidR="00A15DFE" w:rsidRPr="00560591" w:rsidRDefault="00A15DFE">
            <w:pPr>
              <w:pStyle w:val="Default"/>
              <w:rPr>
                <w:sz w:val="23"/>
                <w:szCs w:val="23"/>
                <w:lang w:val="fr-CH"/>
              </w:rPr>
            </w:pPr>
          </w:p>
        </w:tc>
      </w:tr>
      <w:tr w:rsidR="00A15DFE" w:rsidRPr="005542E4" w14:paraId="442300D0" w14:textId="77777777" w:rsidTr="00A15DFE">
        <w:trPr>
          <w:trHeight w:val="355"/>
        </w:trPr>
        <w:tc>
          <w:tcPr>
            <w:tcW w:w="5065" w:type="dxa"/>
          </w:tcPr>
          <w:p w14:paraId="0AD33E4A" w14:textId="77777777" w:rsidR="005542E4" w:rsidRPr="005542E4" w:rsidRDefault="005542E4" w:rsidP="005542E4">
            <w:pPr>
              <w:pStyle w:val="Default"/>
              <w:rPr>
                <w:i/>
                <w:sz w:val="22"/>
                <w:szCs w:val="22"/>
                <w:lang w:val="fr-CH"/>
              </w:rPr>
            </w:pPr>
            <w:r w:rsidRPr="005542E4">
              <w:rPr>
                <w:i/>
                <w:sz w:val="22"/>
                <w:szCs w:val="22"/>
                <w:lang w:val="fr-CH"/>
              </w:rPr>
              <w:t xml:space="preserve">«Si je perds, c'est que je suis un perdant.» </w:t>
            </w:r>
          </w:p>
          <w:p w14:paraId="74D5D45F" w14:textId="77777777" w:rsidR="00A15DFE" w:rsidRPr="00560591" w:rsidRDefault="00A15DFE">
            <w:pPr>
              <w:pStyle w:val="Default"/>
              <w:rPr>
                <w:i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</w:tcPr>
          <w:p w14:paraId="4A413F37" w14:textId="77777777" w:rsidR="00A15DFE" w:rsidRPr="00560591" w:rsidRDefault="00A15DFE">
            <w:pPr>
              <w:pStyle w:val="Default"/>
              <w:rPr>
                <w:sz w:val="22"/>
                <w:szCs w:val="22"/>
                <w:lang w:val="fr-CH"/>
              </w:rPr>
            </w:pPr>
          </w:p>
        </w:tc>
      </w:tr>
      <w:tr w:rsidR="00A15DFE" w:rsidRPr="005542E4" w14:paraId="5950DFA9" w14:textId="77777777" w:rsidTr="00A15DFE">
        <w:trPr>
          <w:trHeight w:val="228"/>
        </w:trPr>
        <w:tc>
          <w:tcPr>
            <w:tcW w:w="5065" w:type="dxa"/>
          </w:tcPr>
          <w:p w14:paraId="065D1242" w14:textId="77777777" w:rsidR="005542E4" w:rsidRPr="005542E4" w:rsidRDefault="005542E4" w:rsidP="005542E4">
            <w:pPr>
              <w:pStyle w:val="Default"/>
              <w:rPr>
                <w:i/>
                <w:sz w:val="22"/>
                <w:szCs w:val="22"/>
                <w:lang w:val="fr-CH"/>
              </w:rPr>
            </w:pPr>
            <w:r w:rsidRPr="005542E4">
              <w:rPr>
                <w:i/>
                <w:sz w:val="22"/>
                <w:szCs w:val="22"/>
                <w:lang w:val="fr-CH"/>
              </w:rPr>
              <w:t xml:space="preserve">«Je n’aime que les tâches faciles car je suis sûr de pouvoir les réussir. » </w:t>
            </w:r>
          </w:p>
          <w:p w14:paraId="5B279D02" w14:textId="77777777" w:rsidR="00A15DFE" w:rsidRPr="00560591" w:rsidRDefault="00A15DFE">
            <w:pPr>
              <w:pStyle w:val="Default"/>
              <w:rPr>
                <w:i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</w:tcPr>
          <w:p w14:paraId="19BF41ED" w14:textId="77777777" w:rsidR="00A15DFE" w:rsidRPr="00560591" w:rsidRDefault="00A15DFE">
            <w:pPr>
              <w:pStyle w:val="Default"/>
              <w:rPr>
                <w:sz w:val="22"/>
                <w:szCs w:val="22"/>
                <w:lang w:val="fr-CH"/>
              </w:rPr>
            </w:pPr>
          </w:p>
        </w:tc>
      </w:tr>
      <w:tr w:rsidR="00A15DFE" w:rsidRPr="005542E4" w14:paraId="3C1B987B" w14:textId="77777777" w:rsidTr="00A15DFE">
        <w:trPr>
          <w:trHeight w:val="355"/>
        </w:trPr>
        <w:tc>
          <w:tcPr>
            <w:tcW w:w="5065" w:type="dxa"/>
          </w:tcPr>
          <w:p w14:paraId="0EA149F0" w14:textId="15BFBB48" w:rsidR="00A15DFE" w:rsidRPr="00560591" w:rsidRDefault="005542E4" w:rsidP="00560591">
            <w:pPr>
              <w:pStyle w:val="Default"/>
              <w:rPr>
                <w:i/>
                <w:sz w:val="22"/>
                <w:szCs w:val="22"/>
                <w:lang w:val="fr-CH"/>
              </w:rPr>
            </w:pPr>
            <w:r w:rsidRPr="005542E4">
              <w:rPr>
                <w:i/>
                <w:sz w:val="22"/>
                <w:szCs w:val="22"/>
                <w:lang w:val="fr-CH"/>
              </w:rPr>
              <w:t>«Si je dois investir beaucoup d’énergie dans quelque chose, cela veut dire que je ne peux pas être très bon dans ce domaine.»</w:t>
            </w:r>
          </w:p>
        </w:tc>
        <w:tc>
          <w:tcPr>
            <w:tcW w:w="4110" w:type="dxa"/>
          </w:tcPr>
          <w:p w14:paraId="5C9E331C" w14:textId="77777777" w:rsidR="00A15DFE" w:rsidRPr="00560591" w:rsidRDefault="00A15DFE">
            <w:pPr>
              <w:pStyle w:val="Default"/>
              <w:rPr>
                <w:sz w:val="22"/>
                <w:szCs w:val="22"/>
                <w:lang w:val="fr-CH"/>
              </w:rPr>
            </w:pPr>
          </w:p>
        </w:tc>
      </w:tr>
      <w:tr w:rsidR="005542E4" w14:paraId="4DCD5176" w14:textId="77777777" w:rsidTr="00A15DFE">
        <w:trPr>
          <w:trHeight w:val="482"/>
        </w:trPr>
        <w:tc>
          <w:tcPr>
            <w:tcW w:w="5065" w:type="dxa"/>
          </w:tcPr>
          <w:p w14:paraId="09B58253" w14:textId="76473C06" w:rsidR="005542E4" w:rsidRPr="00560591" w:rsidRDefault="005542E4" w:rsidP="005542E4">
            <w:pPr>
              <w:pStyle w:val="Default"/>
              <w:rPr>
                <w:i/>
                <w:sz w:val="22"/>
                <w:szCs w:val="22"/>
                <w:lang w:val="fr-CH"/>
              </w:rPr>
            </w:pPr>
            <w:r>
              <w:rPr>
                <w:i/>
                <w:sz w:val="22"/>
                <w:szCs w:val="22"/>
                <w:lang w:val="fr-CH"/>
              </w:rPr>
              <w:t xml:space="preserve">«J’aime les entraînements avec des athlètes plus jeunes ou de mon âge car je suis le meilleur. J’essaie d’éviter de m’entraîner avec des athlètes plus âgés.» </w:t>
            </w:r>
          </w:p>
        </w:tc>
        <w:tc>
          <w:tcPr>
            <w:tcW w:w="4110" w:type="dxa"/>
          </w:tcPr>
          <w:p w14:paraId="13556340" w14:textId="77777777" w:rsidR="005542E4" w:rsidRDefault="005542E4" w:rsidP="005542E4">
            <w:pPr>
              <w:pStyle w:val="Default"/>
              <w:rPr>
                <w:sz w:val="22"/>
                <w:szCs w:val="22"/>
              </w:rPr>
            </w:pPr>
          </w:p>
        </w:tc>
      </w:tr>
      <w:tr w:rsidR="005542E4" w:rsidRPr="005542E4" w14:paraId="4F709ED0" w14:textId="77777777" w:rsidTr="00A15DFE">
        <w:trPr>
          <w:trHeight w:val="482"/>
        </w:trPr>
        <w:tc>
          <w:tcPr>
            <w:tcW w:w="5065" w:type="dxa"/>
          </w:tcPr>
          <w:p w14:paraId="3508337F" w14:textId="77777777" w:rsidR="005542E4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  <w:r>
              <w:rPr>
                <w:i/>
                <w:color w:val="000000"/>
                <w:sz w:val="22"/>
                <w:szCs w:val="22"/>
                <w:lang w:val="fr-FR"/>
              </w:rPr>
              <w:t>«</w:t>
            </w:r>
            <w:r>
              <w:rPr>
                <w:i/>
                <w:color w:val="000000"/>
                <w:sz w:val="22"/>
                <w:szCs w:val="22"/>
                <w:lang w:val="fr-CH"/>
              </w:rPr>
              <w:t>Les sportifs possèdent une certaine dose de talent et il n’y a pas grand-chose que l’on puisse faire pour améliorer leurs performances.»</w:t>
            </w:r>
          </w:p>
          <w:p w14:paraId="58BAF315" w14:textId="25D69B15" w:rsidR="005542E4" w:rsidRPr="00560591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</w:tcPr>
          <w:p w14:paraId="170C56F4" w14:textId="77777777" w:rsidR="005542E4" w:rsidRPr="00560591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  <w:lang w:val="fr-CH"/>
              </w:rPr>
            </w:pPr>
          </w:p>
        </w:tc>
      </w:tr>
      <w:tr w:rsidR="005542E4" w:rsidRPr="005542E4" w14:paraId="4CEAD197" w14:textId="77777777" w:rsidTr="00A15DFE">
        <w:trPr>
          <w:trHeight w:val="355"/>
        </w:trPr>
        <w:tc>
          <w:tcPr>
            <w:tcW w:w="5065" w:type="dxa"/>
          </w:tcPr>
          <w:p w14:paraId="16AC51D3" w14:textId="77777777" w:rsidR="005542E4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  <w:r>
              <w:rPr>
                <w:i/>
                <w:color w:val="000000"/>
                <w:sz w:val="22"/>
                <w:szCs w:val="22"/>
                <w:lang w:val="fr-CH"/>
              </w:rPr>
              <w:t xml:space="preserve">«Certaines personnes savent jouer, d’autres pas.» </w:t>
            </w:r>
          </w:p>
          <w:p w14:paraId="6AF5488D" w14:textId="77777777" w:rsidR="005542E4" w:rsidRPr="00560591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</w:tcPr>
          <w:p w14:paraId="5EED33D8" w14:textId="77777777" w:rsidR="005542E4" w:rsidRPr="00560591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  <w:lang w:val="fr-CH"/>
              </w:rPr>
            </w:pPr>
          </w:p>
        </w:tc>
      </w:tr>
      <w:tr w:rsidR="005542E4" w:rsidRPr="005542E4" w14:paraId="29A08D3B" w14:textId="77777777" w:rsidTr="00A15DFE">
        <w:trPr>
          <w:trHeight w:val="609"/>
        </w:trPr>
        <w:tc>
          <w:tcPr>
            <w:tcW w:w="5065" w:type="dxa"/>
          </w:tcPr>
          <w:p w14:paraId="6BCBD874" w14:textId="77777777" w:rsidR="005542E4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  <w:r>
              <w:rPr>
                <w:i/>
                <w:color w:val="000000"/>
                <w:sz w:val="22"/>
                <w:szCs w:val="22"/>
                <w:lang w:val="fr-CH"/>
              </w:rPr>
              <w:t xml:space="preserve">«J’ai perdu parce que l’arbitre était injuste. » </w:t>
            </w:r>
          </w:p>
          <w:p w14:paraId="6B700238" w14:textId="77777777" w:rsidR="005542E4" w:rsidRPr="00560591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</w:tcPr>
          <w:p w14:paraId="4312219E" w14:textId="77777777" w:rsidR="005542E4" w:rsidRPr="00560591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  <w:lang w:val="fr-CH"/>
              </w:rPr>
            </w:pPr>
          </w:p>
        </w:tc>
      </w:tr>
      <w:tr w:rsidR="005542E4" w:rsidRPr="005542E4" w14:paraId="73AC111F" w14:textId="77777777" w:rsidTr="00A15DFE">
        <w:trPr>
          <w:trHeight w:val="734"/>
        </w:trPr>
        <w:tc>
          <w:tcPr>
            <w:tcW w:w="5065" w:type="dxa"/>
          </w:tcPr>
          <w:p w14:paraId="0F56DA51" w14:textId="3C7FC9D4" w:rsidR="005542E4" w:rsidRPr="003C46B5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  <w:r>
              <w:rPr>
                <w:i/>
                <w:color w:val="000000"/>
                <w:sz w:val="22"/>
                <w:szCs w:val="22"/>
                <w:lang w:val="fr-CH"/>
              </w:rPr>
              <w:t xml:space="preserve">«Nous possédons certaines prédispositions génétiques dès notre naissance. C’est ce qui détermine la performance et on ne peut rien y changer.» </w:t>
            </w:r>
          </w:p>
        </w:tc>
        <w:tc>
          <w:tcPr>
            <w:tcW w:w="4110" w:type="dxa"/>
          </w:tcPr>
          <w:p w14:paraId="12020CA7" w14:textId="77777777" w:rsidR="005542E4" w:rsidRPr="003C46B5" w:rsidRDefault="005542E4" w:rsidP="005542E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  <w:lang w:val="fr-CH"/>
              </w:rPr>
            </w:pPr>
          </w:p>
        </w:tc>
      </w:tr>
      <w:tr w:rsidR="00A15DFE" w:rsidRPr="005542E4" w14:paraId="295F749C" w14:textId="77777777" w:rsidTr="00A15DFE">
        <w:trPr>
          <w:trHeight w:val="355"/>
        </w:trPr>
        <w:tc>
          <w:tcPr>
            <w:tcW w:w="5065" w:type="dxa"/>
          </w:tcPr>
          <w:p w14:paraId="2B19C3C8" w14:textId="5EB4BD3B" w:rsidR="00A15DFE" w:rsidRPr="003C46B5" w:rsidRDefault="005542E4" w:rsidP="003C46B5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22"/>
                <w:szCs w:val="22"/>
                <w:lang w:val="fr-CH"/>
              </w:rPr>
            </w:pPr>
            <w:r w:rsidRPr="005542E4">
              <w:rPr>
                <w:i/>
                <w:color w:val="000000"/>
                <w:sz w:val="22"/>
                <w:szCs w:val="22"/>
                <w:lang w:val="fr-CH"/>
              </w:rPr>
              <w:t>«On peut savoir dès la première fois qu’on le voit dans son sport si un athlète sera bon ou non.»</w:t>
            </w:r>
          </w:p>
        </w:tc>
        <w:tc>
          <w:tcPr>
            <w:tcW w:w="4110" w:type="dxa"/>
          </w:tcPr>
          <w:p w14:paraId="16788A54" w14:textId="77777777" w:rsidR="00A15DFE" w:rsidRPr="003C46B5" w:rsidRDefault="00A15DFE" w:rsidP="00A15D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  <w:lang w:val="fr-CH"/>
              </w:rPr>
            </w:pPr>
          </w:p>
        </w:tc>
      </w:tr>
    </w:tbl>
    <w:p w14:paraId="4E095213" w14:textId="77777777" w:rsidR="00A15DFE" w:rsidRPr="003C46B5" w:rsidRDefault="00A15DFE" w:rsidP="00A15DFE">
      <w:pPr>
        <w:rPr>
          <w:lang w:val="fr-CH"/>
        </w:rPr>
      </w:pPr>
    </w:p>
    <w:sectPr w:rsidR="00A15DFE" w:rsidRPr="003C46B5" w:rsidSect="00A15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1967" w14:textId="77777777" w:rsidR="00A15DFE" w:rsidRDefault="00A15DFE" w:rsidP="00A15DFE">
      <w:pPr>
        <w:spacing w:line="240" w:lineRule="auto"/>
      </w:pPr>
      <w:r>
        <w:separator/>
      </w:r>
    </w:p>
  </w:endnote>
  <w:endnote w:type="continuationSeparator" w:id="0">
    <w:p w14:paraId="55FBBA5F" w14:textId="77777777" w:rsidR="00A15DFE" w:rsidRDefault="00A15DFE" w:rsidP="00A15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6A51" w14:textId="77777777" w:rsidR="008E493C" w:rsidRDefault="008E49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A59" w14:textId="77777777" w:rsidR="008E493C" w:rsidRDefault="008E49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61E8" w14:textId="77777777" w:rsidR="008E493C" w:rsidRDefault="008E49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CEE2" w14:textId="77777777" w:rsidR="00A15DFE" w:rsidRDefault="00A15DFE" w:rsidP="00A15DFE">
      <w:pPr>
        <w:spacing w:line="240" w:lineRule="auto"/>
      </w:pPr>
      <w:r>
        <w:separator/>
      </w:r>
    </w:p>
  </w:footnote>
  <w:footnote w:type="continuationSeparator" w:id="0">
    <w:p w14:paraId="28958565" w14:textId="77777777" w:rsidR="00A15DFE" w:rsidRDefault="00A15DFE" w:rsidP="00A15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FA88" w14:textId="77777777" w:rsidR="008E493C" w:rsidRDefault="008E49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B08D" w14:textId="77777777" w:rsidR="00A15DFE" w:rsidRDefault="00A15DFE" w:rsidP="00A15DFE">
    <w:pPr>
      <w:pStyle w:val="En-tte"/>
      <w:tabs>
        <w:tab w:val="right" w:pos="9214"/>
      </w:tabs>
    </w:pPr>
    <w:r>
      <w:tab/>
    </w:r>
  </w:p>
  <w:p w14:paraId="145ACA9F" w14:textId="11794522" w:rsidR="00A15DFE" w:rsidRPr="00BF1836" w:rsidRDefault="00BF1836" w:rsidP="00A15DFE">
    <w:pPr>
      <w:pStyle w:val="En-tte"/>
      <w:pBdr>
        <w:bottom w:val="single" w:sz="4" w:space="1" w:color="auto"/>
      </w:pBdr>
      <w:tabs>
        <w:tab w:val="right" w:pos="9214"/>
      </w:tabs>
      <w:rPr>
        <w:lang w:val="fr-CH"/>
      </w:rPr>
    </w:pPr>
    <w:r w:rsidRPr="00BF1836">
      <w:rPr>
        <w:b/>
        <w:lang w:val="fr-CH"/>
      </w:rPr>
      <w:t>FORMATION DES ENTRAÎNEURS</w:t>
    </w:r>
    <w:r>
      <w:rPr>
        <w:lang w:val="fr-CH"/>
      </w:rPr>
      <w:t xml:space="preserve"> SUISSE</w:t>
    </w:r>
    <w:r>
      <w:rPr>
        <w:lang w:val="fr-CH"/>
      </w:rPr>
      <w:tab/>
      <w:t>Autogestion</w:t>
    </w:r>
  </w:p>
  <w:p w14:paraId="7A1BEE7B" w14:textId="77777777" w:rsidR="00A15DFE" w:rsidRPr="00BF1836" w:rsidRDefault="00A15DFE">
    <w:pPr>
      <w:pStyle w:val="En-tt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524F" w14:textId="77777777" w:rsidR="008E493C" w:rsidRDefault="008E49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FE"/>
    <w:rsid w:val="00017255"/>
    <w:rsid w:val="003C46B5"/>
    <w:rsid w:val="00473E11"/>
    <w:rsid w:val="004873BA"/>
    <w:rsid w:val="005542E4"/>
    <w:rsid w:val="0055557C"/>
    <w:rsid w:val="00560591"/>
    <w:rsid w:val="005D06F0"/>
    <w:rsid w:val="006949FC"/>
    <w:rsid w:val="008E493C"/>
    <w:rsid w:val="00984FD5"/>
    <w:rsid w:val="00A15DFE"/>
    <w:rsid w:val="00A80E61"/>
    <w:rsid w:val="00AD28B0"/>
    <w:rsid w:val="00BF1836"/>
    <w:rsid w:val="00E37C17"/>
    <w:rsid w:val="00E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A102854"/>
  <w15:chartTrackingRefBased/>
  <w15:docId w15:val="{2023850B-72FD-44ED-B121-CE8700A0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6949FC"/>
    <w:pPr>
      <w:suppressAutoHyphens/>
      <w:spacing w:line="160" w:lineRule="atLeast"/>
    </w:pPr>
    <w:rPr>
      <w:rFonts w:eastAsia="Times New Roman" w:cs="Times New Roman"/>
      <w:noProof/>
      <w:sz w:val="12"/>
      <w:lang w:eastAsia="de-CH"/>
    </w:rPr>
  </w:style>
  <w:style w:type="character" w:customStyle="1" w:styleId="PieddepageCar">
    <w:name w:val="Pied de page Car"/>
    <w:basedOn w:val="Policepardfaut"/>
    <w:link w:val="Pieddepag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En-tte">
    <w:name w:val="header"/>
    <w:basedOn w:val="Normal"/>
    <w:link w:val="En-tteCar"/>
    <w:semiHidden/>
    <w:rsid w:val="006949FC"/>
    <w:pPr>
      <w:suppressAutoHyphens/>
      <w:spacing w:line="200" w:lineRule="atLeast"/>
    </w:pPr>
    <w:rPr>
      <w:rFonts w:eastAsia="Times New Roman" w:cs="Times New Roman"/>
      <w:noProof/>
      <w:sz w:val="15"/>
      <w:lang w:eastAsia="de-CH"/>
    </w:rPr>
  </w:style>
  <w:style w:type="character" w:customStyle="1" w:styleId="En-tteCar">
    <w:name w:val="En-tête Car"/>
    <w:basedOn w:val="Policepardfaut"/>
    <w:link w:val="En-tt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En-tte"/>
    <w:next w:val="En-tte"/>
    <w:qFormat/>
    <w:rsid w:val="006949FC"/>
    <w:pPr>
      <w:spacing w:after="80"/>
    </w:pPr>
  </w:style>
  <w:style w:type="paragraph" w:customStyle="1" w:styleId="KopfzeileFett">
    <w:name w:val="KopfzeileFett"/>
    <w:basedOn w:val="En-tte"/>
    <w:next w:val="En-tte"/>
    <w:qFormat/>
    <w:rsid w:val="006949FC"/>
    <w:rPr>
      <w:b/>
    </w:rPr>
  </w:style>
  <w:style w:type="paragraph" w:customStyle="1" w:styleId="Referenz">
    <w:name w:val="Referenz"/>
    <w:basedOn w:val="Normal"/>
    <w:qFormat/>
    <w:rsid w:val="006949FC"/>
    <w:pPr>
      <w:spacing w:line="200" w:lineRule="atLeast"/>
    </w:pPr>
    <w:rPr>
      <w:rFonts w:eastAsia="Times New Roman" w:cs="Times New Roman"/>
      <w:sz w:val="15"/>
      <w:lang w:eastAsia="de-CH"/>
    </w:rPr>
  </w:style>
  <w:style w:type="paragraph" w:customStyle="1" w:styleId="Default">
    <w:name w:val="Default"/>
    <w:rsid w:val="00A15DF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Mark BASPO</dc:creator>
  <cp:keywords/>
  <dc:description/>
  <cp:lastModifiedBy>Pralong Charles BASPO</cp:lastModifiedBy>
  <cp:revision>11</cp:revision>
  <dcterms:created xsi:type="dcterms:W3CDTF">2016-01-18T16:16:00Z</dcterms:created>
  <dcterms:modified xsi:type="dcterms:W3CDTF">2025-09-23T13:07:00Z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2025-09-23T13:06:09Z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d3ff69ec-1956-48d3-944b-3dbefa77f967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